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E328A" w14:textId="290E2986" w:rsidR="00EA67EF" w:rsidRDefault="00EA67EF" w:rsidP="00EA67EF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1A1A1A"/>
          <w:kern w:val="36"/>
          <w:sz w:val="34"/>
          <w:szCs w:val="34"/>
          <w:lang w:eastAsia="pl-PL"/>
        </w:rPr>
      </w:pPr>
      <w:r>
        <w:rPr>
          <w:noProof/>
        </w:rPr>
        <w:drawing>
          <wp:inline distT="0" distB="0" distL="0" distR="0" wp14:anchorId="1F5BB4F3" wp14:editId="1C399BC1">
            <wp:extent cx="1511300" cy="482600"/>
            <wp:effectExtent l="0" t="0" r="0" b="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482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B1A88FE" w14:textId="77777777" w:rsidR="00EA67EF" w:rsidRDefault="00EA67EF" w:rsidP="00A25EC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A1A1A"/>
          <w:kern w:val="36"/>
          <w:sz w:val="34"/>
          <w:szCs w:val="34"/>
          <w:lang w:eastAsia="pl-PL"/>
        </w:rPr>
      </w:pPr>
    </w:p>
    <w:p w14:paraId="01377279" w14:textId="77777777" w:rsidR="00EA67EF" w:rsidRDefault="00EA67EF" w:rsidP="00A25EC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A1A1A"/>
          <w:kern w:val="36"/>
          <w:sz w:val="34"/>
          <w:szCs w:val="34"/>
          <w:lang w:eastAsia="pl-PL"/>
        </w:rPr>
      </w:pPr>
    </w:p>
    <w:p w14:paraId="0EAD8CAF" w14:textId="0E7E9698" w:rsidR="00EA67EF" w:rsidRPr="00EA67EF" w:rsidRDefault="00EA67EF" w:rsidP="00EA67EF">
      <w:pPr>
        <w:shd w:val="clear" w:color="auto" w:fill="FFFFFF"/>
        <w:spacing w:after="0" w:line="240" w:lineRule="auto"/>
        <w:jc w:val="right"/>
        <w:outlineLvl w:val="0"/>
        <w:rPr>
          <w:rFonts w:ascii="Arial" w:eastAsia="Times New Roman" w:hAnsi="Arial" w:cs="Arial"/>
          <w:color w:val="1A1A1A"/>
          <w:kern w:val="36"/>
          <w:sz w:val="20"/>
          <w:szCs w:val="20"/>
          <w:lang w:eastAsia="pl-PL"/>
        </w:rPr>
      </w:pPr>
      <w:r w:rsidRPr="00EA67EF">
        <w:rPr>
          <w:rFonts w:ascii="Arial" w:eastAsia="Times New Roman" w:hAnsi="Arial" w:cs="Arial"/>
          <w:color w:val="1A1A1A"/>
          <w:kern w:val="36"/>
          <w:sz w:val="20"/>
          <w:szCs w:val="20"/>
          <w:lang w:eastAsia="pl-PL"/>
        </w:rPr>
        <w:t xml:space="preserve">Warszawa, dn. </w:t>
      </w:r>
      <w:r w:rsidR="0062358A">
        <w:rPr>
          <w:rFonts w:ascii="Arial" w:eastAsia="Times New Roman" w:hAnsi="Arial" w:cs="Arial"/>
          <w:color w:val="1A1A1A"/>
          <w:kern w:val="36"/>
          <w:sz w:val="20"/>
          <w:szCs w:val="20"/>
          <w:lang w:eastAsia="pl-PL"/>
        </w:rPr>
        <w:t>23</w:t>
      </w:r>
      <w:r w:rsidRPr="00EA67EF">
        <w:rPr>
          <w:rFonts w:ascii="Arial" w:eastAsia="Times New Roman" w:hAnsi="Arial" w:cs="Arial"/>
          <w:color w:val="1A1A1A"/>
          <w:kern w:val="36"/>
          <w:sz w:val="20"/>
          <w:szCs w:val="20"/>
          <w:lang w:eastAsia="pl-PL"/>
        </w:rPr>
        <w:t>.0</w:t>
      </w:r>
      <w:r w:rsidR="00A03FF5">
        <w:rPr>
          <w:rFonts w:ascii="Arial" w:eastAsia="Times New Roman" w:hAnsi="Arial" w:cs="Arial"/>
          <w:color w:val="1A1A1A"/>
          <w:kern w:val="36"/>
          <w:sz w:val="20"/>
          <w:szCs w:val="20"/>
          <w:lang w:eastAsia="pl-PL"/>
        </w:rPr>
        <w:t>9</w:t>
      </w:r>
      <w:r w:rsidRPr="00EA67EF">
        <w:rPr>
          <w:rFonts w:ascii="Arial" w:eastAsia="Times New Roman" w:hAnsi="Arial" w:cs="Arial"/>
          <w:color w:val="1A1A1A"/>
          <w:kern w:val="36"/>
          <w:sz w:val="20"/>
          <w:szCs w:val="20"/>
          <w:lang w:eastAsia="pl-PL"/>
        </w:rPr>
        <w:t>.202</w:t>
      </w:r>
      <w:r w:rsidR="00A03FF5">
        <w:rPr>
          <w:rFonts w:ascii="Arial" w:eastAsia="Times New Roman" w:hAnsi="Arial" w:cs="Arial"/>
          <w:color w:val="1A1A1A"/>
          <w:kern w:val="36"/>
          <w:sz w:val="20"/>
          <w:szCs w:val="20"/>
          <w:lang w:eastAsia="pl-PL"/>
        </w:rPr>
        <w:t>4</w:t>
      </w:r>
      <w:r w:rsidRPr="00EA67EF">
        <w:rPr>
          <w:rFonts w:ascii="Arial" w:eastAsia="Times New Roman" w:hAnsi="Arial" w:cs="Arial"/>
          <w:color w:val="1A1A1A"/>
          <w:kern w:val="36"/>
          <w:sz w:val="20"/>
          <w:szCs w:val="20"/>
          <w:lang w:eastAsia="pl-PL"/>
        </w:rPr>
        <w:br/>
        <w:t>Porada prawna</w:t>
      </w:r>
    </w:p>
    <w:p w14:paraId="232AA7D4" w14:textId="77777777" w:rsidR="00EA67EF" w:rsidRDefault="00EA67EF" w:rsidP="00EA67EF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1A1A1A"/>
          <w:kern w:val="36"/>
          <w:sz w:val="34"/>
          <w:szCs w:val="34"/>
          <w:lang w:eastAsia="pl-PL"/>
        </w:rPr>
      </w:pPr>
    </w:p>
    <w:p w14:paraId="58A19E1E" w14:textId="77777777" w:rsidR="000B0F56" w:rsidRDefault="000B0F56" w:rsidP="000B0F5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C00000"/>
          <w:kern w:val="36"/>
          <w:sz w:val="26"/>
          <w:szCs w:val="26"/>
          <w:lang w:eastAsia="pl-PL"/>
        </w:rPr>
      </w:pPr>
    </w:p>
    <w:p w14:paraId="146C1974" w14:textId="7F59DC84" w:rsidR="00BA6761" w:rsidRPr="000B0F56" w:rsidRDefault="00B13C8F" w:rsidP="000B0F5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C00000"/>
          <w:kern w:val="36"/>
          <w:sz w:val="26"/>
          <w:szCs w:val="26"/>
          <w:lang w:eastAsia="pl-PL"/>
        </w:rPr>
      </w:pPr>
      <w:r>
        <w:rPr>
          <w:rFonts w:ascii="Arial" w:eastAsia="Times New Roman" w:hAnsi="Arial" w:cs="Arial"/>
          <w:b/>
          <w:bCs/>
          <w:color w:val="C00000"/>
          <w:kern w:val="36"/>
          <w:sz w:val="26"/>
          <w:szCs w:val="26"/>
          <w:lang w:eastAsia="pl-PL"/>
        </w:rPr>
        <w:t>Klauzula trzech siódemek w umowie o dożywocie</w:t>
      </w:r>
    </w:p>
    <w:p w14:paraId="71FC67B9" w14:textId="77777777" w:rsidR="00BA6761" w:rsidRDefault="00BA6761" w:rsidP="0004011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A1A1A"/>
          <w:kern w:val="36"/>
          <w:sz w:val="26"/>
          <w:szCs w:val="26"/>
          <w:lang w:eastAsia="pl-PL"/>
        </w:rPr>
      </w:pPr>
    </w:p>
    <w:p w14:paraId="70C7D692" w14:textId="7294F321" w:rsidR="00844D4A" w:rsidRDefault="00BA6761" w:rsidP="000B0F56">
      <w:pPr>
        <w:jc w:val="both"/>
        <w:rPr>
          <w:rFonts w:ascii="Arial" w:hAnsi="Arial" w:cs="Arial"/>
          <w:b/>
          <w:bCs/>
          <w:color w:val="1A1A1A"/>
          <w:shd w:val="clear" w:color="auto" w:fill="FFFFFF"/>
        </w:rPr>
      </w:pPr>
      <w:r w:rsidRPr="000B0F56">
        <w:rPr>
          <w:rFonts w:ascii="Arial" w:hAnsi="Arial" w:cs="Arial"/>
          <w:b/>
          <w:bCs/>
          <w:color w:val="1A1A1A"/>
          <w:shd w:val="clear" w:color="auto" w:fill="FFFFFF"/>
        </w:rPr>
        <w:t>Klauzula trzech siódemek</w:t>
      </w:r>
      <w:r w:rsidR="000B0F56" w:rsidRPr="000B0F56">
        <w:rPr>
          <w:rFonts w:ascii="Arial" w:hAnsi="Arial" w:cs="Arial"/>
          <w:b/>
          <w:bCs/>
          <w:color w:val="1A1A1A"/>
          <w:shd w:val="clear" w:color="auto" w:fill="FFFFFF"/>
        </w:rPr>
        <w:t xml:space="preserve"> (</w:t>
      </w:r>
      <w:r w:rsidRPr="000B0F56">
        <w:rPr>
          <w:rFonts w:ascii="Arial" w:hAnsi="Arial" w:cs="Arial"/>
          <w:b/>
          <w:bCs/>
          <w:color w:val="1A1A1A"/>
          <w:shd w:val="clear" w:color="auto" w:fill="FFFFFF"/>
        </w:rPr>
        <w:t>czyli art. 777 § 1 pkt 4 Kodeksu postępowania cywilnego</w:t>
      </w:r>
      <w:r w:rsidR="000B0F56" w:rsidRPr="000B0F56">
        <w:rPr>
          <w:rFonts w:ascii="Arial" w:hAnsi="Arial" w:cs="Arial"/>
          <w:b/>
          <w:bCs/>
          <w:color w:val="1A1A1A"/>
          <w:shd w:val="clear" w:color="auto" w:fill="FFFFFF"/>
        </w:rPr>
        <w:t>)</w:t>
      </w:r>
      <w:r w:rsidRPr="000B0F56">
        <w:rPr>
          <w:rFonts w:ascii="Arial" w:hAnsi="Arial" w:cs="Arial"/>
          <w:b/>
          <w:bCs/>
          <w:color w:val="1A1A1A"/>
          <w:shd w:val="clear" w:color="auto" w:fill="FFFFFF"/>
        </w:rPr>
        <w:t xml:space="preserve"> stosowana jest najczęściej w umowach sprzedaży. Warto jednak pamiętać, że przepis ten </w:t>
      </w:r>
      <w:r w:rsidR="000B0F56" w:rsidRPr="000B0F56">
        <w:rPr>
          <w:rFonts w:ascii="Arial" w:hAnsi="Arial" w:cs="Arial"/>
          <w:b/>
          <w:bCs/>
          <w:color w:val="1A1A1A"/>
          <w:shd w:val="clear" w:color="auto" w:fill="FFFFFF"/>
        </w:rPr>
        <w:t>można wykorzystać</w:t>
      </w:r>
      <w:r w:rsidRPr="000B0F56">
        <w:rPr>
          <w:rFonts w:ascii="Arial" w:hAnsi="Arial" w:cs="Arial"/>
          <w:b/>
          <w:bCs/>
          <w:color w:val="1A1A1A"/>
          <w:shd w:val="clear" w:color="auto" w:fill="FFFFFF"/>
        </w:rPr>
        <w:t xml:space="preserve"> </w:t>
      </w:r>
      <w:r w:rsidR="000B0F56">
        <w:rPr>
          <w:rFonts w:ascii="Arial" w:hAnsi="Arial" w:cs="Arial"/>
          <w:b/>
          <w:bCs/>
          <w:color w:val="1A1A1A"/>
          <w:shd w:val="clear" w:color="auto" w:fill="FFFFFF"/>
        </w:rPr>
        <w:t xml:space="preserve">również </w:t>
      </w:r>
      <w:r w:rsidRPr="000B0F56">
        <w:rPr>
          <w:rFonts w:ascii="Arial" w:hAnsi="Arial" w:cs="Arial"/>
          <w:b/>
          <w:bCs/>
          <w:color w:val="1A1A1A"/>
          <w:shd w:val="clear" w:color="auto" w:fill="FFFFFF"/>
        </w:rPr>
        <w:t>w umow</w:t>
      </w:r>
      <w:r w:rsidR="000B0F56" w:rsidRPr="000B0F56">
        <w:rPr>
          <w:rFonts w:ascii="Arial" w:hAnsi="Arial" w:cs="Arial"/>
          <w:b/>
          <w:bCs/>
          <w:color w:val="1A1A1A"/>
          <w:shd w:val="clear" w:color="auto" w:fill="FFFFFF"/>
        </w:rPr>
        <w:t xml:space="preserve">ie </w:t>
      </w:r>
      <w:r w:rsidRPr="000B0F56">
        <w:rPr>
          <w:rFonts w:ascii="Arial" w:hAnsi="Arial" w:cs="Arial"/>
          <w:b/>
          <w:bCs/>
          <w:color w:val="1A1A1A"/>
          <w:shd w:val="clear" w:color="auto" w:fill="FFFFFF"/>
        </w:rPr>
        <w:t>o dożywocie, na mocy któr</w:t>
      </w:r>
      <w:r w:rsidR="000B0F56" w:rsidRPr="000B0F56">
        <w:rPr>
          <w:rFonts w:ascii="Arial" w:hAnsi="Arial" w:cs="Arial"/>
          <w:b/>
          <w:bCs/>
          <w:color w:val="1A1A1A"/>
          <w:shd w:val="clear" w:color="auto" w:fill="FFFFFF"/>
        </w:rPr>
        <w:t>ej</w:t>
      </w:r>
      <w:r w:rsidRPr="000B0F56">
        <w:rPr>
          <w:rFonts w:ascii="Arial" w:hAnsi="Arial" w:cs="Arial"/>
          <w:b/>
          <w:bCs/>
          <w:color w:val="1A1A1A"/>
          <w:shd w:val="clear" w:color="auto" w:fill="FFFFFF"/>
        </w:rPr>
        <w:t xml:space="preserve"> senior przenosi prawo własności do nieruchomości w zamian za świadczenia pieniężne</w:t>
      </w:r>
      <w:r w:rsidR="0033002D">
        <w:rPr>
          <w:rFonts w:ascii="Arial" w:hAnsi="Arial" w:cs="Arial"/>
          <w:b/>
          <w:bCs/>
          <w:color w:val="1A1A1A"/>
          <w:shd w:val="clear" w:color="auto" w:fill="FFFFFF"/>
        </w:rPr>
        <w:t xml:space="preserve">. </w:t>
      </w:r>
      <w:r w:rsidRPr="000B0F56">
        <w:rPr>
          <w:rFonts w:ascii="Arial" w:hAnsi="Arial" w:cs="Arial"/>
          <w:b/>
          <w:bCs/>
          <w:color w:val="1A1A1A"/>
          <w:shd w:val="clear" w:color="auto" w:fill="FFFFFF"/>
        </w:rPr>
        <w:t xml:space="preserve">Dzięki </w:t>
      </w:r>
      <w:r w:rsidR="000B0F56" w:rsidRPr="000B0F56">
        <w:rPr>
          <w:rFonts w:ascii="Arial" w:hAnsi="Arial" w:cs="Arial"/>
          <w:b/>
          <w:bCs/>
          <w:color w:val="1A1A1A"/>
          <w:shd w:val="clear" w:color="auto" w:fill="FFFFFF"/>
        </w:rPr>
        <w:t>klauzuli trzech siódemek</w:t>
      </w:r>
      <w:r w:rsidRPr="000B0F56">
        <w:rPr>
          <w:rFonts w:ascii="Arial" w:hAnsi="Arial" w:cs="Arial"/>
          <w:b/>
          <w:bCs/>
          <w:color w:val="1A1A1A"/>
          <w:shd w:val="clear" w:color="auto" w:fill="FFFFFF"/>
        </w:rPr>
        <w:t xml:space="preserve"> emeryt może lepiej zabezpieczyć się na wypadek, gdyby świadczeniodawca nie wypłacał należnych </w:t>
      </w:r>
      <w:r w:rsidR="00FD049C">
        <w:rPr>
          <w:rFonts w:ascii="Arial" w:hAnsi="Arial" w:cs="Arial"/>
          <w:b/>
          <w:bCs/>
          <w:color w:val="1A1A1A"/>
          <w:shd w:val="clear" w:color="auto" w:fill="FFFFFF"/>
        </w:rPr>
        <w:t xml:space="preserve">mu </w:t>
      </w:r>
      <w:r w:rsidRPr="000B0F56">
        <w:rPr>
          <w:rFonts w:ascii="Arial" w:hAnsi="Arial" w:cs="Arial"/>
          <w:b/>
          <w:bCs/>
          <w:color w:val="1A1A1A"/>
          <w:shd w:val="clear" w:color="auto" w:fill="FFFFFF"/>
        </w:rPr>
        <w:t xml:space="preserve">kwot. O tym dlaczego warto dodać odpowiednie zapisy do umowy o dożywocie mówi Małgorzata Rosińska, Kierownik Działu Prawnego Funduszu Hipotecznego DOM. </w:t>
      </w:r>
    </w:p>
    <w:p w14:paraId="3973FE9E" w14:textId="77777777" w:rsidR="000B0F56" w:rsidRPr="000B0F56" w:rsidRDefault="000B0F56" w:rsidP="000B0F56">
      <w:pPr>
        <w:jc w:val="both"/>
        <w:rPr>
          <w:rFonts w:ascii="Arial" w:hAnsi="Arial" w:cs="Arial"/>
          <w:b/>
          <w:bCs/>
          <w:color w:val="1A1A1A"/>
          <w:sz w:val="4"/>
          <w:szCs w:val="4"/>
          <w:shd w:val="clear" w:color="auto" w:fill="FFFFFF"/>
        </w:rPr>
      </w:pPr>
    </w:p>
    <w:p w14:paraId="6F946930" w14:textId="4CEEBA5E" w:rsidR="00BA6761" w:rsidRDefault="000B0F56" w:rsidP="000B0F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danych Ministerstwa Sprawiedliwości wynika, że w ubiegłym roku zawarto w Polsce ok. </w:t>
      </w:r>
      <w:r w:rsidR="00FD049C">
        <w:rPr>
          <w:rFonts w:ascii="Arial" w:hAnsi="Arial" w:cs="Arial"/>
        </w:rPr>
        <w:br/>
      </w:r>
      <w:r>
        <w:rPr>
          <w:rFonts w:ascii="Arial" w:hAnsi="Arial" w:cs="Arial"/>
        </w:rPr>
        <w:t xml:space="preserve">14 tys. nowych umów o dożywocie (zarówno z osobami prywatnymi jak i profesjonalnymi instytucjami). Umowy o dożywocie mogą dotyczyć zarówno nieruchomości rolnych, jak i nierolniczych. Na mocy takiego kontraktu senior (zbywca nieruchomości) przekazuje prawo własności lokalu lub domu świadczeniodawcy, który w zamian będzie wypłacał emerytowi świadczenia pieniężne w ustalonej kwocie. I tutaj pojawia się pytanie jak zabezpieczyć się na wypadek, gdyby </w:t>
      </w:r>
      <w:r w:rsidR="00FD049C">
        <w:rPr>
          <w:rFonts w:ascii="Arial" w:hAnsi="Arial" w:cs="Arial"/>
        </w:rPr>
        <w:t>świadczeniodawca uchylał się od płacenia ustalonych kwot?</w:t>
      </w:r>
      <w:r>
        <w:rPr>
          <w:rFonts w:ascii="Arial" w:hAnsi="Arial" w:cs="Arial"/>
        </w:rPr>
        <w:t xml:space="preserve"> </w:t>
      </w:r>
    </w:p>
    <w:p w14:paraId="471B80C0" w14:textId="4B82EE11" w:rsidR="00A25ECD" w:rsidRPr="00FD049C" w:rsidRDefault="000B0F56" w:rsidP="00EA67EF">
      <w:pPr>
        <w:pStyle w:val="NormalnyWeb"/>
        <w:shd w:val="clear" w:color="auto" w:fill="FFFFFF"/>
        <w:jc w:val="both"/>
        <w:rPr>
          <w:rFonts w:ascii="Arial" w:hAnsi="Arial" w:cs="Arial"/>
          <w:color w:val="1A1A1A"/>
          <w:sz w:val="22"/>
          <w:szCs w:val="22"/>
        </w:rPr>
      </w:pPr>
      <w:r w:rsidRPr="00FD049C">
        <w:rPr>
          <w:rFonts w:ascii="Arial" w:hAnsi="Arial" w:cs="Arial"/>
          <w:color w:val="1A1A1A"/>
          <w:sz w:val="22"/>
          <w:szCs w:val="22"/>
        </w:rPr>
        <w:t>Przypomnijmy, że a</w:t>
      </w:r>
      <w:r w:rsidR="00A25ECD" w:rsidRPr="00FD049C">
        <w:rPr>
          <w:rFonts w:ascii="Arial" w:hAnsi="Arial" w:cs="Arial"/>
          <w:color w:val="1A1A1A"/>
          <w:sz w:val="22"/>
          <w:szCs w:val="22"/>
        </w:rPr>
        <w:t xml:space="preserve">rt. 777 § 1 pkt 4 Kodeksu postępowania cywilnego najczęściej znajduje zastosowanie w umowie sprzedaży. </w:t>
      </w:r>
      <w:r w:rsidRPr="00FD049C">
        <w:rPr>
          <w:rFonts w:ascii="Arial" w:hAnsi="Arial" w:cs="Arial"/>
          <w:color w:val="1A1A1A"/>
          <w:sz w:val="22"/>
          <w:szCs w:val="22"/>
        </w:rPr>
        <w:t xml:space="preserve">Może być jednak stosowany również w kontraktach, w których dłużnik </w:t>
      </w:r>
      <w:r w:rsidR="00A25ECD" w:rsidRPr="00FD049C">
        <w:rPr>
          <w:rFonts w:ascii="Arial" w:hAnsi="Arial" w:cs="Arial"/>
          <w:color w:val="1A1A1A"/>
          <w:sz w:val="22"/>
          <w:szCs w:val="22"/>
        </w:rPr>
        <w:t xml:space="preserve">zobowiązał się do uiszczenia wierzycielowi oznaczonej sumy pieniężnej. </w:t>
      </w:r>
      <w:r w:rsidRPr="00FD049C">
        <w:rPr>
          <w:rFonts w:ascii="Arial" w:hAnsi="Arial" w:cs="Arial"/>
          <w:color w:val="1A1A1A"/>
          <w:sz w:val="22"/>
          <w:szCs w:val="22"/>
        </w:rPr>
        <w:t>Przykładem może być</w:t>
      </w:r>
      <w:r w:rsidR="00A25ECD" w:rsidRPr="00FD049C">
        <w:rPr>
          <w:rFonts w:ascii="Arial" w:hAnsi="Arial" w:cs="Arial"/>
          <w:color w:val="1A1A1A"/>
          <w:sz w:val="22"/>
          <w:szCs w:val="22"/>
        </w:rPr>
        <w:t xml:space="preserve"> ak</w:t>
      </w:r>
      <w:r w:rsidRPr="00FD049C">
        <w:rPr>
          <w:rFonts w:ascii="Arial" w:hAnsi="Arial" w:cs="Arial"/>
          <w:color w:val="1A1A1A"/>
          <w:sz w:val="22"/>
          <w:szCs w:val="22"/>
        </w:rPr>
        <w:t>t</w:t>
      </w:r>
      <w:r w:rsidR="00A25ECD" w:rsidRPr="00FD049C">
        <w:rPr>
          <w:rFonts w:ascii="Arial" w:hAnsi="Arial" w:cs="Arial"/>
          <w:color w:val="1A1A1A"/>
          <w:sz w:val="22"/>
          <w:szCs w:val="22"/>
        </w:rPr>
        <w:t xml:space="preserve"> notarialny obejmujący umowę o dożywocie lub umowę renty odpłatnej</w:t>
      </w:r>
      <w:r w:rsidRPr="00FD049C">
        <w:rPr>
          <w:rFonts w:ascii="Arial" w:hAnsi="Arial" w:cs="Arial"/>
          <w:color w:val="1A1A1A"/>
          <w:sz w:val="22"/>
          <w:szCs w:val="22"/>
        </w:rPr>
        <w:t>, w któr</w:t>
      </w:r>
      <w:r w:rsidR="00670C1E">
        <w:rPr>
          <w:rFonts w:ascii="Arial" w:hAnsi="Arial" w:cs="Arial"/>
          <w:color w:val="1A1A1A"/>
          <w:sz w:val="22"/>
          <w:szCs w:val="22"/>
        </w:rPr>
        <w:t>ej</w:t>
      </w:r>
      <w:r w:rsidR="00A25ECD" w:rsidRPr="00FD049C">
        <w:rPr>
          <w:rFonts w:ascii="Arial" w:hAnsi="Arial" w:cs="Arial"/>
          <w:color w:val="1A1A1A"/>
          <w:sz w:val="22"/>
          <w:szCs w:val="22"/>
        </w:rPr>
        <w:t xml:space="preserve"> nabywca</w:t>
      </w:r>
      <w:r w:rsidRPr="00FD049C">
        <w:rPr>
          <w:rFonts w:ascii="Arial" w:hAnsi="Arial" w:cs="Arial"/>
          <w:color w:val="1A1A1A"/>
          <w:sz w:val="22"/>
          <w:szCs w:val="22"/>
        </w:rPr>
        <w:t xml:space="preserve"> nieruchomości</w:t>
      </w:r>
      <w:r w:rsidR="00A25ECD" w:rsidRPr="00FD049C">
        <w:rPr>
          <w:rFonts w:ascii="Arial" w:hAnsi="Arial" w:cs="Arial"/>
          <w:color w:val="1A1A1A"/>
          <w:sz w:val="22"/>
          <w:szCs w:val="22"/>
        </w:rPr>
        <w:t xml:space="preserve"> </w:t>
      </w:r>
      <w:r w:rsidRPr="00FD049C">
        <w:rPr>
          <w:rFonts w:ascii="Arial" w:hAnsi="Arial" w:cs="Arial"/>
          <w:color w:val="1A1A1A"/>
          <w:sz w:val="22"/>
          <w:szCs w:val="22"/>
        </w:rPr>
        <w:t xml:space="preserve">(świadczeniodawca) </w:t>
      </w:r>
      <w:r w:rsidR="00A25ECD" w:rsidRPr="00FD049C">
        <w:rPr>
          <w:rFonts w:ascii="Arial" w:hAnsi="Arial" w:cs="Arial"/>
          <w:color w:val="1A1A1A"/>
          <w:sz w:val="22"/>
          <w:szCs w:val="22"/>
        </w:rPr>
        <w:t>może poddać się egzekucji w zakresie zapłaty comiesięcznych świadczeń, w kwocie uzgodnionej ze zbywcą.</w:t>
      </w:r>
      <w:r w:rsidR="00FD049C" w:rsidRPr="00FD049C">
        <w:rPr>
          <w:rFonts w:ascii="Arial" w:hAnsi="Arial" w:cs="Arial"/>
          <w:color w:val="1A1A1A"/>
          <w:sz w:val="22"/>
          <w:szCs w:val="22"/>
        </w:rPr>
        <w:t xml:space="preserve"> Co to oznacza w praktyce? </w:t>
      </w:r>
      <w:r w:rsidR="00A25ECD" w:rsidRPr="00FD049C">
        <w:rPr>
          <w:rFonts w:ascii="Arial" w:hAnsi="Arial" w:cs="Arial"/>
          <w:color w:val="1A1A1A"/>
          <w:sz w:val="22"/>
          <w:szCs w:val="22"/>
        </w:rPr>
        <w:t>Jeśli nabywca nieruchomości</w:t>
      </w:r>
      <w:r w:rsidR="00FD049C" w:rsidRPr="00FD049C">
        <w:rPr>
          <w:rFonts w:ascii="Arial" w:hAnsi="Arial" w:cs="Arial"/>
          <w:color w:val="1A1A1A"/>
          <w:sz w:val="22"/>
          <w:szCs w:val="22"/>
        </w:rPr>
        <w:t xml:space="preserve"> (świadczeniodawca)</w:t>
      </w:r>
      <w:r w:rsidR="00A25ECD" w:rsidRPr="00FD049C">
        <w:rPr>
          <w:rFonts w:ascii="Arial" w:hAnsi="Arial" w:cs="Arial"/>
          <w:color w:val="1A1A1A"/>
          <w:sz w:val="22"/>
          <w:szCs w:val="22"/>
        </w:rPr>
        <w:t xml:space="preserve"> spóźni się z wypłatą renty dożywotniej, chociażby o jeden dzień, jej dotychczasowy właściciel może wystąpić do sądu o nadanie aktowi notarialnemu tzw. klauzuli wykonalności (zgodnie z przepisami sąd nadaje taką klauzulę niezwłocznie, nie później niż w terminie 3 dni), po czym zwraca się bezpośrednio do komornika, by ten wyegzekwował należne mu pieniądze. Jest to najprostszy i najszybszy sposób dochodzenia roszczeń. Atrakcyjne – z punktu widzenia wierzyciela – są również koszty tzw. postępowania klauzulowego. Zgodnie z art. 71 ustawy z dnia z dnia 28 lipca 2005 r. o kosztach sądowych w sprawach cywilnych opłata sądowa wynosi </w:t>
      </w:r>
      <w:r w:rsidR="00670C1E">
        <w:rPr>
          <w:rFonts w:ascii="Arial" w:hAnsi="Arial" w:cs="Arial"/>
          <w:color w:val="1A1A1A"/>
          <w:sz w:val="22"/>
          <w:szCs w:val="22"/>
        </w:rPr>
        <w:t xml:space="preserve">w tym przypadku </w:t>
      </w:r>
      <w:r w:rsidR="00A25ECD" w:rsidRPr="00FD049C">
        <w:rPr>
          <w:rFonts w:ascii="Arial" w:hAnsi="Arial" w:cs="Arial"/>
          <w:color w:val="1A1A1A"/>
          <w:sz w:val="22"/>
          <w:szCs w:val="22"/>
        </w:rPr>
        <w:t>50 zł.</w:t>
      </w:r>
    </w:p>
    <w:p w14:paraId="79526C12" w14:textId="1AC8DBD9" w:rsidR="00A25ECD" w:rsidRPr="00FD049C" w:rsidRDefault="00FD049C" w:rsidP="00EA67EF">
      <w:pPr>
        <w:pStyle w:val="NormalnyWeb"/>
        <w:shd w:val="clear" w:color="auto" w:fill="FFFFFF"/>
        <w:jc w:val="both"/>
        <w:rPr>
          <w:rFonts w:ascii="Arial" w:hAnsi="Arial" w:cs="Arial"/>
          <w:color w:val="1A1A1A"/>
          <w:sz w:val="22"/>
          <w:szCs w:val="22"/>
        </w:rPr>
      </w:pPr>
      <w:r>
        <w:rPr>
          <w:rFonts w:ascii="Arial" w:hAnsi="Arial" w:cs="Arial"/>
          <w:color w:val="1A1A1A"/>
          <w:sz w:val="22"/>
          <w:szCs w:val="22"/>
        </w:rPr>
        <w:t>Warto zadbać o to, by w umowie o dożywocie (niezależnie od tego, czy podpisujemy ją z osobą prywatną, czy z funduszem hipotecznym) znalazła się klauzula trzech siódemek.</w:t>
      </w:r>
      <w:r w:rsidR="00922A48" w:rsidRPr="00FD049C">
        <w:rPr>
          <w:rFonts w:ascii="Arial" w:hAnsi="Arial" w:cs="Arial"/>
          <w:color w:val="1A1A1A"/>
          <w:sz w:val="22"/>
          <w:szCs w:val="22"/>
        </w:rPr>
        <w:t xml:space="preserve"> Jeżeli świadczeniodawca, który zobowiązał się do wypłaty np. comiesięcznych świadczeń (w zamian za przekazanie prawa własności do nieruchomości) będzie spóźniał się z płatnością lub wypłacał mniejszą kwotę, warto skorzystać z tego paragrafu i podać sprawę do sądu. </w:t>
      </w:r>
    </w:p>
    <w:p w14:paraId="14FDCB65" w14:textId="77777777" w:rsidR="00A25ECD" w:rsidRPr="00EA67EF" w:rsidRDefault="00A25ECD" w:rsidP="00EA67EF">
      <w:pPr>
        <w:jc w:val="both"/>
        <w:rPr>
          <w:rFonts w:ascii="Arial" w:hAnsi="Arial" w:cs="Arial"/>
        </w:rPr>
      </w:pPr>
    </w:p>
    <w:sectPr w:rsidR="00A25ECD" w:rsidRPr="00EA6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CD"/>
    <w:rsid w:val="00040117"/>
    <w:rsid w:val="00087977"/>
    <w:rsid w:val="000B0F56"/>
    <w:rsid w:val="0033002D"/>
    <w:rsid w:val="00392566"/>
    <w:rsid w:val="00492B4D"/>
    <w:rsid w:val="005A1B52"/>
    <w:rsid w:val="005B6ADB"/>
    <w:rsid w:val="0062358A"/>
    <w:rsid w:val="00670C1E"/>
    <w:rsid w:val="006D3C67"/>
    <w:rsid w:val="00720E43"/>
    <w:rsid w:val="00776622"/>
    <w:rsid w:val="00844D4A"/>
    <w:rsid w:val="00922A48"/>
    <w:rsid w:val="00A03FF5"/>
    <w:rsid w:val="00A25ECD"/>
    <w:rsid w:val="00B13C8F"/>
    <w:rsid w:val="00BA6761"/>
    <w:rsid w:val="00BC7873"/>
    <w:rsid w:val="00E313A9"/>
    <w:rsid w:val="00E66639"/>
    <w:rsid w:val="00EA67EF"/>
    <w:rsid w:val="00FD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828D7"/>
  <w15:chartTrackingRefBased/>
  <w15:docId w15:val="{9F96603F-A4FA-4164-A544-ACF410DCD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25E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5EC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25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25ECD"/>
    <w:rPr>
      <w:b/>
      <w:bCs/>
    </w:rPr>
  </w:style>
  <w:style w:type="paragraph" w:styleId="Poprawka">
    <w:name w:val="Revision"/>
    <w:hidden/>
    <w:uiPriority w:val="99"/>
    <w:semiHidden/>
    <w:rsid w:val="006D3C6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D3C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3C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3C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C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3C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3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</dc:creator>
  <cp:keywords/>
  <dc:description/>
  <cp:lastModifiedBy>Agnieszka Zelazko</cp:lastModifiedBy>
  <cp:revision>4</cp:revision>
  <dcterms:created xsi:type="dcterms:W3CDTF">2024-09-12T10:16:00Z</dcterms:created>
  <dcterms:modified xsi:type="dcterms:W3CDTF">2024-09-23T12:40:00Z</dcterms:modified>
</cp:coreProperties>
</file>