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D547" w14:textId="3AAFBC2A" w:rsidR="00AC5189" w:rsidRDefault="00AC5189" w:rsidP="00AC5189">
      <w:pPr>
        <w:jc w:val="center"/>
      </w:pPr>
      <w:r>
        <w:rPr>
          <w:noProof/>
          <w:lang w:eastAsia="pl-PL"/>
        </w:rPr>
        <w:drawing>
          <wp:inline distT="0" distB="0" distL="0" distR="0" wp14:anchorId="02D27A04" wp14:editId="6110F559">
            <wp:extent cx="1876425" cy="619125"/>
            <wp:effectExtent l="0" t="0" r="9525" b="9525"/>
            <wp:docPr id="2" name="Obraz 2" descr="Obraz zawierający Czcionka, Grafika, tekst, biał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Czcionka, Grafika, tekst, biał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48363" w14:textId="77777777" w:rsidR="00AC5189" w:rsidRDefault="00AC5189" w:rsidP="00AC5189">
      <w:pPr>
        <w:jc w:val="right"/>
      </w:pPr>
    </w:p>
    <w:p w14:paraId="5462BBAF" w14:textId="55C46F2C" w:rsidR="008A42D0" w:rsidRPr="00AC5189" w:rsidRDefault="008A42D0" w:rsidP="00AC5189">
      <w:pPr>
        <w:jc w:val="right"/>
      </w:pPr>
      <w:r w:rsidRPr="00AC5189">
        <w:t xml:space="preserve">Warszawa, dn. </w:t>
      </w:r>
      <w:r w:rsidR="00B82FC7">
        <w:t>2</w:t>
      </w:r>
      <w:r w:rsidR="00474487">
        <w:t>2</w:t>
      </w:r>
      <w:r w:rsidRPr="00AC5189">
        <w:t>.01.2025</w:t>
      </w:r>
      <w:r w:rsidRPr="00AC5189">
        <w:br/>
        <w:t xml:space="preserve">Poradnik o tematyce prawnej </w:t>
      </w:r>
    </w:p>
    <w:p w14:paraId="510844E4" w14:textId="77777777" w:rsidR="00AC5189" w:rsidRDefault="00AC5189" w:rsidP="00D636B5">
      <w:pPr>
        <w:rPr>
          <w:b/>
          <w:bCs/>
          <w:sz w:val="26"/>
          <w:szCs w:val="26"/>
        </w:rPr>
      </w:pPr>
    </w:p>
    <w:p w14:paraId="07FA2C1A" w14:textId="7B3CA82A" w:rsidR="00D636B5" w:rsidRPr="00E127DA" w:rsidRDefault="00D636B5" w:rsidP="00AC5189">
      <w:pPr>
        <w:jc w:val="center"/>
        <w:rPr>
          <w:sz w:val="26"/>
          <w:szCs w:val="26"/>
        </w:rPr>
      </w:pPr>
      <w:r w:rsidRPr="00E127DA">
        <w:rPr>
          <w:b/>
          <w:bCs/>
          <w:sz w:val="26"/>
          <w:szCs w:val="26"/>
        </w:rPr>
        <w:t>Pułapki w nieprofesjonalnych umowach o dożywocie</w:t>
      </w:r>
      <w:r w:rsidR="00ED683B">
        <w:rPr>
          <w:b/>
          <w:bCs/>
          <w:sz w:val="26"/>
          <w:szCs w:val="26"/>
        </w:rPr>
        <w:t>.</w:t>
      </w:r>
      <w:r w:rsidR="008C0654" w:rsidRPr="00E127DA">
        <w:rPr>
          <w:b/>
          <w:bCs/>
          <w:sz w:val="26"/>
          <w:szCs w:val="26"/>
        </w:rPr>
        <w:br/>
      </w:r>
      <w:r w:rsidRPr="00E127DA">
        <w:rPr>
          <w:b/>
          <w:bCs/>
          <w:sz w:val="26"/>
          <w:szCs w:val="26"/>
        </w:rPr>
        <w:t>Jak ich uniknąć i co zrobić w razie problemów?</w:t>
      </w:r>
    </w:p>
    <w:p w14:paraId="0DC3FC3E" w14:textId="68D07F73" w:rsidR="0009481B" w:rsidRDefault="0009481B" w:rsidP="00834587">
      <w:pPr>
        <w:jc w:val="both"/>
        <w:rPr>
          <w:b/>
          <w:bCs/>
        </w:rPr>
      </w:pPr>
      <w:r>
        <w:rPr>
          <w:b/>
          <w:bCs/>
        </w:rPr>
        <w:t xml:space="preserve">Dane Ministerstwa Sprawiedliwości pokazują, że w </w:t>
      </w:r>
      <w:r w:rsidR="00E9773A">
        <w:rPr>
          <w:b/>
          <w:bCs/>
        </w:rPr>
        <w:t>2023 roku</w:t>
      </w:r>
      <w:r>
        <w:rPr>
          <w:b/>
          <w:bCs/>
        </w:rPr>
        <w:t xml:space="preserve"> zawarto około 14 tysięcy umów o dożywocie. Co ciekawe, zaledwie 1 proc. z nich podpisano z profesjonalnymi instytucjami – reszta to umowy pomiędzy osobami prywatnymi. Niestety, jak alarmują eksperci, wiele takich kontraktów bywa niedopracowanych, a niejasności prawne mogą prowadzić do poważnych problemów – od kłopotów finansowych, po utratę nieruchomości</w:t>
      </w:r>
      <w:r w:rsidR="00ED683B">
        <w:rPr>
          <w:b/>
          <w:bCs/>
        </w:rPr>
        <w:t xml:space="preserve">. </w:t>
      </w:r>
      <w:r>
        <w:rPr>
          <w:b/>
          <w:bCs/>
        </w:rPr>
        <w:t xml:space="preserve">Razem z Małgorzatą Rosińską, kierowniczką Działu Prawnego Funduszu Hipotecznego DOM wskazujemy </w:t>
      </w:r>
      <w:r w:rsidR="00B2544F">
        <w:rPr>
          <w:b/>
          <w:bCs/>
        </w:rPr>
        <w:t>trzy</w:t>
      </w:r>
      <w:r>
        <w:rPr>
          <w:b/>
          <w:bCs/>
        </w:rPr>
        <w:t xml:space="preserve"> najczęstsz</w:t>
      </w:r>
      <w:r w:rsidR="00050C68">
        <w:rPr>
          <w:b/>
          <w:bCs/>
        </w:rPr>
        <w:t>e</w:t>
      </w:r>
      <w:r>
        <w:rPr>
          <w:b/>
          <w:bCs/>
        </w:rPr>
        <w:t xml:space="preserve"> pułap</w:t>
      </w:r>
      <w:r w:rsidR="00050C68">
        <w:rPr>
          <w:b/>
          <w:bCs/>
        </w:rPr>
        <w:t>ki</w:t>
      </w:r>
      <w:r>
        <w:rPr>
          <w:b/>
          <w:bCs/>
        </w:rPr>
        <w:t xml:space="preserve">, w które mogą wpaść osoby starsze. Wyjaśniamy również jakie kroki prawne podjąć, by uniknąć dramatycznych konsekwencji. </w:t>
      </w:r>
    </w:p>
    <w:p w14:paraId="15013CCD" w14:textId="77777777" w:rsidR="00834587" w:rsidRPr="00AC5189" w:rsidRDefault="00834587" w:rsidP="00D636B5">
      <w:pPr>
        <w:rPr>
          <w:b/>
          <w:bCs/>
          <w:color w:val="C00000"/>
          <w:sz w:val="4"/>
          <w:szCs w:val="4"/>
        </w:rPr>
      </w:pPr>
    </w:p>
    <w:p w14:paraId="2F03B74D" w14:textId="46D5D961" w:rsidR="00BB40E4" w:rsidRPr="00834587" w:rsidRDefault="00BB40E4" w:rsidP="00D636B5">
      <w:pPr>
        <w:rPr>
          <w:b/>
          <w:bCs/>
          <w:color w:val="C00000"/>
        </w:rPr>
      </w:pPr>
      <w:r w:rsidRPr="00834587">
        <w:rPr>
          <w:b/>
          <w:bCs/>
          <w:color w:val="C00000"/>
        </w:rPr>
        <w:t>Pułapka 1</w:t>
      </w:r>
    </w:p>
    <w:p w14:paraId="337E9313" w14:textId="792F84B9" w:rsidR="00D636B5" w:rsidRPr="00834587" w:rsidRDefault="00D636B5" w:rsidP="00D636B5">
      <w:pPr>
        <w:rPr>
          <w:b/>
          <w:bCs/>
          <w:color w:val="C00000"/>
        </w:rPr>
      </w:pPr>
      <w:r w:rsidRPr="00834587">
        <w:rPr>
          <w:b/>
          <w:bCs/>
          <w:color w:val="C00000"/>
        </w:rPr>
        <w:t>Nieprawidłowa wycena nieruchomości i zaniżone świadczenia</w:t>
      </w:r>
    </w:p>
    <w:p w14:paraId="19DD1ED7" w14:textId="70AFD517" w:rsidR="00D636B5" w:rsidRPr="00D636B5" w:rsidRDefault="00D636B5" w:rsidP="00E127DA">
      <w:pPr>
        <w:jc w:val="both"/>
      </w:pPr>
      <w:r w:rsidRPr="00D636B5">
        <w:t xml:space="preserve">W nieprofesjonalnych umowach często pomija się rzetelną wycenę nieruchomości, co skutkuje zaniżeniem świadczeń pieniężnych lub innych zobowiązań. Senior może nie zdawać sobie sprawy, że wartość przekazanej nieruchomości </w:t>
      </w:r>
      <w:r w:rsidR="000F67BD">
        <w:t xml:space="preserve">jest znacznie wyższa, niż wykazał nowy nabywca. A </w:t>
      </w:r>
      <w:r w:rsidR="008704EC">
        <w:t xml:space="preserve">przecież rynkowa cena mieszkania lub domu </w:t>
      </w:r>
      <w:r w:rsidR="000F67BD">
        <w:t xml:space="preserve">ma kluczowe znaczenie przy wyliczaniu wysokości comiesięcznej renty. </w:t>
      </w:r>
    </w:p>
    <w:p w14:paraId="15E5299F" w14:textId="1E9A44A2" w:rsidR="00D636B5" w:rsidRPr="00D636B5" w:rsidRDefault="002F1665" w:rsidP="00E127DA">
      <w:pPr>
        <w:jc w:val="both"/>
      </w:pPr>
      <w:r>
        <w:t xml:space="preserve">– </w:t>
      </w:r>
      <w:r w:rsidR="00E127DA" w:rsidRPr="00E127DA">
        <w:t>Przed</w:t>
      </w:r>
      <w:r w:rsidR="00E127DA">
        <w:rPr>
          <w:b/>
          <w:bCs/>
        </w:rPr>
        <w:t xml:space="preserve"> </w:t>
      </w:r>
      <w:r w:rsidR="00D636B5" w:rsidRPr="00D636B5">
        <w:t xml:space="preserve">podpisaniem umowy należy zlecić niezależną wycenę </w:t>
      </w:r>
      <w:r w:rsidR="00E127DA">
        <w:t xml:space="preserve">nieruchomości u </w:t>
      </w:r>
      <w:r w:rsidR="00D636B5" w:rsidRPr="00D636B5">
        <w:t>rzeczoznawcy majątkowego</w:t>
      </w:r>
      <w:r w:rsidR="00E127DA">
        <w:t xml:space="preserve">. Warto też dopilnować, by wysokość świadczeń pieniężnych była wpisana do kontraktu w całości, wraz z dokładnym terminem kiedy pieniądze będą wypłacane w każdym miesiącu – radzi Małgorzata Rosińska. </w:t>
      </w:r>
      <w:r w:rsidR="00FC5DC3">
        <w:t>Jeżeli świadczeniodawca poza wypłatą pieniędzy zobowiązuje się do dodatkowych usług</w:t>
      </w:r>
      <w:r w:rsidR="00B81C4B">
        <w:t>,</w:t>
      </w:r>
      <w:r w:rsidR="00FC5DC3">
        <w:t xml:space="preserve"> to warto je szczegółowo opisać. Bardzo często w umowach z osobami prywatnymi padają deklaracje o robieniu zakupów dla seniora, opiece, pomocy. Od razu warto doprecyzować – jak często, kiedy dana usługa będzie wyświadczona, co konkretnie oznaczają tak szerokie pojęcia jak pomoc, opieka etc. Im mniej niedomówień tym mniej nieporozumień i konfliktów w przyszłości. </w:t>
      </w:r>
    </w:p>
    <w:p w14:paraId="24D3324B" w14:textId="77777777" w:rsidR="00E127DA" w:rsidRPr="00E127DA" w:rsidRDefault="00E127DA" w:rsidP="00D636B5">
      <w:pPr>
        <w:rPr>
          <w:sz w:val="4"/>
          <w:szCs w:val="4"/>
        </w:rPr>
      </w:pPr>
    </w:p>
    <w:p w14:paraId="7238F877" w14:textId="5A7064AD" w:rsidR="00E127DA" w:rsidRPr="00E127DA" w:rsidRDefault="00E127DA" w:rsidP="00D636B5">
      <w:pPr>
        <w:rPr>
          <w:b/>
          <w:bCs/>
          <w:color w:val="C00000"/>
        </w:rPr>
      </w:pPr>
      <w:r w:rsidRPr="00E127DA">
        <w:rPr>
          <w:b/>
          <w:bCs/>
          <w:color w:val="C00000"/>
        </w:rPr>
        <w:t>Pułapka 2</w:t>
      </w:r>
    </w:p>
    <w:p w14:paraId="2642178B" w14:textId="491CF0E9" w:rsidR="00D636B5" w:rsidRPr="00E127DA" w:rsidRDefault="00D636B5" w:rsidP="00D636B5">
      <w:pPr>
        <w:rPr>
          <w:b/>
          <w:bCs/>
          <w:color w:val="C00000"/>
        </w:rPr>
      </w:pPr>
      <w:r w:rsidRPr="00E127DA">
        <w:rPr>
          <w:b/>
          <w:bCs/>
          <w:color w:val="C00000"/>
        </w:rPr>
        <w:t>Brak wypłaty świadczeń pieniężnych</w:t>
      </w:r>
    </w:p>
    <w:p w14:paraId="508DF64D" w14:textId="77777777" w:rsidR="00D636B5" w:rsidRPr="00D636B5" w:rsidRDefault="00D636B5" w:rsidP="009648DE">
      <w:pPr>
        <w:jc w:val="both"/>
      </w:pPr>
      <w:r w:rsidRPr="00D636B5">
        <w:t>Częstym problemem jest niewywiązywanie się nabywcy z obowiązku wypłaty renty lub zapewnienia innych świadczeń. Jeśli w umowie nie zawarto mechanizmów egzekwowania tych zobowiązań, senior może pozostać bez środków do życia.</w:t>
      </w:r>
    </w:p>
    <w:p w14:paraId="2D04B400" w14:textId="2CCBA2B1" w:rsidR="00746C40" w:rsidRDefault="009648DE" w:rsidP="00D1531A">
      <w:pPr>
        <w:jc w:val="both"/>
      </w:pPr>
      <w:r w:rsidRPr="009648DE">
        <w:lastRenderedPageBreak/>
        <w:t>Jak sobie z tym poradzić? Najpierw można</w:t>
      </w:r>
      <w:r>
        <w:rPr>
          <w:b/>
          <w:bCs/>
        </w:rPr>
        <w:t xml:space="preserve"> </w:t>
      </w:r>
      <w:r w:rsidRPr="00D636B5">
        <w:t>wezwać nabywcę do realizacji świadczeń w formie pisemnej (z podaniem terminu)</w:t>
      </w:r>
      <w:r>
        <w:t xml:space="preserve">. </w:t>
      </w:r>
      <w:r w:rsidRPr="00D636B5">
        <w:t xml:space="preserve">Jeśli wezwanie nie przyniesie skutku, należy złożyć pozew do sądu cywilnego o rozwiązanie </w:t>
      </w:r>
      <w:r w:rsidR="003C7FA7" w:rsidRPr="00D636B5">
        <w:t xml:space="preserve">umowy </w:t>
      </w:r>
      <w:r w:rsidRPr="00D636B5">
        <w:t>(art. 9</w:t>
      </w:r>
      <w:r w:rsidR="003C7FA7">
        <w:t>13</w:t>
      </w:r>
      <w:r w:rsidRPr="00D636B5">
        <w:t xml:space="preserve"> § 2 Kodeksu cywilnego).</w:t>
      </w:r>
      <w:r w:rsidRPr="009648DE">
        <w:t xml:space="preserve"> </w:t>
      </w:r>
      <w:r w:rsidRPr="00D636B5">
        <w:t>Można również zwrócić się do komornika o egzekucję niewypłaconych świadczeń na podstawie wyroku sądu.</w:t>
      </w:r>
      <w:r>
        <w:t xml:space="preserve"> Warto pamiętać, że przed zgłoszeniem sprawy do sądu trzeba zgromadzić dowody potwierdzające brak wypłat (np. korespondencję, </w:t>
      </w:r>
      <w:r w:rsidR="00896166">
        <w:t xml:space="preserve">czy </w:t>
      </w:r>
      <w:r>
        <w:t xml:space="preserve">wyciągi bankowe). </w:t>
      </w:r>
    </w:p>
    <w:p w14:paraId="43674281" w14:textId="1B2D3C04" w:rsidR="009F062F" w:rsidRDefault="00E431D5" w:rsidP="00CD5543">
      <w:pPr>
        <w:jc w:val="both"/>
      </w:pPr>
      <w:r>
        <w:t xml:space="preserve">– </w:t>
      </w:r>
      <w:r w:rsidR="00D1531A">
        <w:t xml:space="preserve">W tym miejscu chciałabym też przypomnieć o tzw. </w:t>
      </w:r>
      <w:r w:rsidR="00E20DBC">
        <w:t>k</w:t>
      </w:r>
      <w:r w:rsidR="00D1531A" w:rsidRPr="00D1531A">
        <w:t>lauzul</w:t>
      </w:r>
      <w:r w:rsidR="00D1531A">
        <w:t>i</w:t>
      </w:r>
      <w:r w:rsidR="00D1531A" w:rsidRPr="00D1531A">
        <w:t xml:space="preserve"> trzech siódemek (czyli art. 777 § 1 pkt 4 Kodeksu postępowania cywilnego)</w:t>
      </w:r>
      <w:r w:rsidR="00186AAF">
        <w:t xml:space="preserve">, którą najczęściej stosuje się w umowach sprzedaży, ale można ją też zastosować w umowie o dożywocie. </w:t>
      </w:r>
      <w:r w:rsidR="004C193D" w:rsidRPr="004C193D">
        <w:t xml:space="preserve">Przykładem może być akt notarialny obejmujący umowę o dożywocie lub umowę renty odpłatnej, w której nabywca nieruchomości (świadczeniodawca) może poddać się egzekucji w zakresie zapłaty comiesięcznych świadczeń, w kwocie uzgodnionej ze zbywcą. </w:t>
      </w:r>
      <w:r w:rsidR="004C193D">
        <w:t>W praktyce oznacza to, że j</w:t>
      </w:r>
      <w:r w:rsidR="004C193D" w:rsidRPr="004C193D">
        <w:t>eśli nabywca nieruchomości (świadczeniodawca) spóźni się z wypłatą renty dożywotniej, chociażby o jeden dzień, jej dotychczasowy właściciel może wystąpić do sądu o nadanie aktowi notarialnemu tzw. klauzuli wykonalności (zgodnie z przepisami sąd nadaje taką klauzulę niezwłocznie, nie później niż w terminie 3 dni), po czym zwraca się bezpośrednio do komornika, by ten wyegzekwował należne mu pieniądze. Jest to najprostszy i najszybszy sposób dochodzenia roszczeń</w:t>
      </w:r>
      <w:r w:rsidR="004C193D">
        <w:t xml:space="preserve"> – radzi Małgorzata Rosińska. </w:t>
      </w:r>
    </w:p>
    <w:p w14:paraId="37D3819A" w14:textId="77777777" w:rsidR="00AC5189" w:rsidRPr="000B34EA" w:rsidRDefault="00AC5189" w:rsidP="009648DE">
      <w:pPr>
        <w:rPr>
          <w:sz w:val="4"/>
          <w:szCs w:val="4"/>
        </w:rPr>
      </w:pPr>
    </w:p>
    <w:p w14:paraId="058658C1" w14:textId="0B3FE36E" w:rsidR="009648DE" w:rsidRPr="00746C40" w:rsidRDefault="00746C40" w:rsidP="009648DE">
      <w:pPr>
        <w:rPr>
          <w:b/>
          <w:bCs/>
          <w:color w:val="C00000"/>
        </w:rPr>
      </w:pPr>
      <w:r w:rsidRPr="00746C40">
        <w:rPr>
          <w:b/>
          <w:bCs/>
          <w:color w:val="C00000"/>
        </w:rPr>
        <w:t>Pułapka 3</w:t>
      </w:r>
    </w:p>
    <w:p w14:paraId="37AB7A9E" w14:textId="65512ACC" w:rsidR="00D636B5" w:rsidRPr="00746C40" w:rsidRDefault="00D636B5" w:rsidP="00D636B5">
      <w:pPr>
        <w:rPr>
          <w:b/>
          <w:bCs/>
          <w:color w:val="C00000"/>
        </w:rPr>
      </w:pPr>
      <w:r w:rsidRPr="00746C40">
        <w:rPr>
          <w:b/>
          <w:bCs/>
          <w:color w:val="C00000"/>
        </w:rPr>
        <w:t>Brak zapisu o służebności osobistej mieszkania</w:t>
      </w:r>
    </w:p>
    <w:p w14:paraId="488BC05C" w14:textId="2226E5D4" w:rsidR="00D636B5" w:rsidRDefault="000B34EA" w:rsidP="000B34EA">
      <w:pPr>
        <w:jc w:val="both"/>
      </w:pPr>
      <w:r>
        <w:t xml:space="preserve">Służebność osobista mieszkania gwarantuje seniorowi, że nawet po przekazaniu prawa własności do nieruchomości, będzie mógł </w:t>
      </w:r>
      <w:r w:rsidR="0054576B">
        <w:t xml:space="preserve">on </w:t>
      </w:r>
      <w:r>
        <w:t xml:space="preserve">dalej zamieszkiwać w swoim lokum, dożywotnio. </w:t>
      </w:r>
      <w:r w:rsidR="0011535C">
        <w:t xml:space="preserve">Warto tu podkreślić, że umowa o dożywocie bardzo często (choć nie zawsze) zawiera w swojej treści służebność osobistą mieszkania. Zdarza się nawet, że nabywca nieruchomości idzie o krok dalej i przyjmuje seniora jako domownika. Natomiast umowa renty już powyższych zapisów nie ma i należy „przypilnować”, by one </w:t>
      </w:r>
      <w:r w:rsidR="0054576B">
        <w:t xml:space="preserve">się </w:t>
      </w:r>
      <w:r w:rsidR="0011535C">
        <w:t xml:space="preserve">tam znalazły. Jeśli ich zabraknie, to nabywca będzie mógł przejąć nieruchomość i pozbawić seniora prawa do dalszego zamieszkiwania. A taka sytuacja może prowadzić do eksmisji. </w:t>
      </w:r>
    </w:p>
    <w:p w14:paraId="0470E5FF" w14:textId="5BE508F9" w:rsidR="00D636B5" w:rsidRDefault="00D1531A" w:rsidP="000B34EA">
      <w:pPr>
        <w:jc w:val="both"/>
      </w:pPr>
      <w:r>
        <w:t xml:space="preserve">– </w:t>
      </w:r>
      <w:r w:rsidR="000B34EA">
        <w:t xml:space="preserve">To bardzo trudna, wręcz dramatyczna sytuacja, która wskazuje, że najlepiej zawierać tego typu kontrakty z profesjonalnymi instytucjami, które stosują w swoich umowach odpowiednie zapisy a przede wszystkim działają zgodnie z normami etycznymi. </w:t>
      </w:r>
      <w:r w:rsidR="00D636B5" w:rsidRPr="00D636B5">
        <w:t>Je</w:t>
      </w:r>
      <w:r w:rsidR="000B34EA">
        <w:t>żeli natomiast nieprofesjonalna</w:t>
      </w:r>
      <w:r w:rsidR="00D636B5" w:rsidRPr="00D636B5">
        <w:t xml:space="preserve"> umowa nie chroni seniora, można </w:t>
      </w:r>
      <w:r w:rsidR="000B34EA">
        <w:t xml:space="preserve">spróbować </w:t>
      </w:r>
      <w:r w:rsidR="00D636B5" w:rsidRPr="00D636B5">
        <w:t>dochodzić swoich praw w sądzie</w:t>
      </w:r>
      <w:r w:rsidR="00041299">
        <w:t xml:space="preserve">. </w:t>
      </w:r>
      <w:r w:rsidR="000B34EA">
        <w:t xml:space="preserve">Jeżeli dojdzie do ponownego negocjowania umowy, co nie zawsze musi się zdarzyć, warto do niej wprowadzić zapis o służebności i </w:t>
      </w:r>
      <w:r w:rsidR="00D636B5" w:rsidRPr="00D636B5">
        <w:t xml:space="preserve">dokonać </w:t>
      </w:r>
      <w:r w:rsidR="000B34EA">
        <w:t xml:space="preserve">odpowiedniego </w:t>
      </w:r>
      <w:r w:rsidR="00D636B5" w:rsidRPr="00D636B5">
        <w:t>wpisu do księgi wieczystej nieruchomości</w:t>
      </w:r>
      <w:r w:rsidR="000B34EA">
        <w:t xml:space="preserve"> – mówi Małgorzata Rosińska, prawniczka z Funduszu Hipotecznego DOM. </w:t>
      </w:r>
    </w:p>
    <w:p w14:paraId="4D7D1342" w14:textId="77777777" w:rsidR="005727EE" w:rsidRPr="005727EE" w:rsidRDefault="005727EE" w:rsidP="000B34EA">
      <w:pPr>
        <w:jc w:val="both"/>
        <w:rPr>
          <w:sz w:val="4"/>
          <w:szCs w:val="4"/>
        </w:rPr>
      </w:pPr>
    </w:p>
    <w:p w14:paraId="1D46A9C6" w14:textId="77777777" w:rsidR="00AD5CD6" w:rsidRDefault="00AD5CD6"/>
    <w:sectPr w:rsidR="00AD5C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E056D"/>
    <w:multiLevelType w:val="multilevel"/>
    <w:tmpl w:val="9AA2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FB2B69"/>
    <w:multiLevelType w:val="multilevel"/>
    <w:tmpl w:val="1C485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5D6947"/>
    <w:multiLevelType w:val="multilevel"/>
    <w:tmpl w:val="4FA84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1A5237"/>
    <w:multiLevelType w:val="multilevel"/>
    <w:tmpl w:val="914C9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536134"/>
    <w:multiLevelType w:val="multilevel"/>
    <w:tmpl w:val="8C029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710963">
    <w:abstractNumId w:val="3"/>
  </w:num>
  <w:num w:numId="2" w16cid:durableId="844513001">
    <w:abstractNumId w:val="4"/>
  </w:num>
  <w:num w:numId="3" w16cid:durableId="1168710268">
    <w:abstractNumId w:val="1"/>
  </w:num>
  <w:num w:numId="4" w16cid:durableId="908002997">
    <w:abstractNumId w:val="2"/>
  </w:num>
  <w:num w:numId="5" w16cid:durableId="76422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6B5"/>
    <w:rsid w:val="00041299"/>
    <w:rsid w:val="00050C68"/>
    <w:rsid w:val="000619CE"/>
    <w:rsid w:val="0009481B"/>
    <w:rsid w:val="000B34EA"/>
    <w:rsid w:val="000E349D"/>
    <w:rsid w:val="000F67BD"/>
    <w:rsid w:val="0011535C"/>
    <w:rsid w:val="00186AAF"/>
    <w:rsid w:val="00281DB5"/>
    <w:rsid w:val="00287E01"/>
    <w:rsid w:val="002F1665"/>
    <w:rsid w:val="00332530"/>
    <w:rsid w:val="003C7FA7"/>
    <w:rsid w:val="00474487"/>
    <w:rsid w:val="004C193D"/>
    <w:rsid w:val="0054576B"/>
    <w:rsid w:val="005727EE"/>
    <w:rsid w:val="006B362E"/>
    <w:rsid w:val="00746C40"/>
    <w:rsid w:val="00790157"/>
    <w:rsid w:val="00834587"/>
    <w:rsid w:val="008704EC"/>
    <w:rsid w:val="00896166"/>
    <w:rsid w:val="008A42D0"/>
    <w:rsid w:val="008C0654"/>
    <w:rsid w:val="008C22E5"/>
    <w:rsid w:val="009024DC"/>
    <w:rsid w:val="0095647F"/>
    <w:rsid w:val="009648DE"/>
    <w:rsid w:val="009B20BB"/>
    <w:rsid w:val="009D5453"/>
    <w:rsid w:val="009F062F"/>
    <w:rsid w:val="00A2605C"/>
    <w:rsid w:val="00AC5189"/>
    <w:rsid w:val="00AD5CD6"/>
    <w:rsid w:val="00B2544F"/>
    <w:rsid w:val="00B81C4B"/>
    <w:rsid w:val="00B82FC7"/>
    <w:rsid w:val="00BB2033"/>
    <w:rsid w:val="00BB2472"/>
    <w:rsid w:val="00BB40E4"/>
    <w:rsid w:val="00C54438"/>
    <w:rsid w:val="00CA12A1"/>
    <w:rsid w:val="00CD5543"/>
    <w:rsid w:val="00D1531A"/>
    <w:rsid w:val="00D1687B"/>
    <w:rsid w:val="00D56A4F"/>
    <w:rsid w:val="00D636B5"/>
    <w:rsid w:val="00DD6800"/>
    <w:rsid w:val="00E127DA"/>
    <w:rsid w:val="00E20DBC"/>
    <w:rsid w:val="00E431D5"/>
    <w:rsid w:val="00E44083"/>
    <w:rsid w:val="00E93D20"/>
    <w:rsid w:val="00E9773A"/>
    <w:rsid w:val="00EA51F6"/>
    <w:rsid w:val="00ED683B"/>
    <w:rsid w:val="00F03590"/>
    <w:rsid w:val="00F377B5"/>
    <w:rsid w:val="00FC33F0"/>
    <w:rsid w:val="00FC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81E4C"/>
  <w15:chartTrackingRefBased/>
  <w15:docId w15:val="{C977C70B-89A7-4F44-86BC-8DC4B0333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63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3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36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3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36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3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3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3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3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36B5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36B5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36B5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36B5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36B5"/>
    <w:rPr>
      <w:rFonts w:eastAsiaTheme="majorEastAsia" w:cstheme="majorBidi"/>
      <w:noProof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36B5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36B5"/>
    <w:rPr>
      <w:rFonts w:eastAsiaTheme="majorEastAsia" w:cstheme="majorBidi"/>
      <w:noProof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36B5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36B5"/>
    <w:rPr>
      <w:rFonts w:eastAsiaTheme="majorEastAsia" w:cstheme="majorBidi"/>
      <w:noProof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3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36B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3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36B5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3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36B5"/>
    <w:rPr>
      <w:i/>
      <w:iCs/>
      <w:noProof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36B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36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3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36B5"/>
    <w:rPr>
      <w:i/>
      <w:iCs/>
      <w:noProof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36B5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E93D20"/>
    <w:pPr>
      <w:spacing w:after="0" w:line="240" w:lineRule="auto"/>
    </w:pPr>
    <w:rPr>
      <w:noProof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51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A51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A51F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51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51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731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Zelazko</dc:creator>
  <cp:keywords/>
  <dc:description/>
  <cp:lastModifiedBy>Agnieszka Zelazko</cp:lastModifiedBy>
  <cp:revision>4</cp:revision>
  <dcterms:created xsi:type="dcterms:W3CDTF">2025-01-22T10:38:00Z</dcterms:created>
  <dcterms:modified xsi:type="dcterms:W3CDTF">2025-01-22T10:47:00Z</dcterms:modified>
</cp:coreProperties>
</file>