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95BCD3" w14:textId="1E70ED21" w:rsidR="008D0431" w:rsidRDefault="008D0431" w:rsidP="008D0431">
      <w:pPr>
        <w:jc w:val="center"/>
      </w:pPr>
      <w:r>
        <w:drawing>
          <wp:inline distT="0" distB="0" distL="0" distR="0" wp14:anchorId="6D45D829" wp14:editId="4D55D3E1">
            <wp:extent cx="1876425" cy="619125"/>
            <wp:effectExtent l="0" t="0" r="9525" b="9525"/>
            <wp:docPr id="2" name="Obraz 1" descr="Obraz zawierający Czcionka, Grafika, tekst, biał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Obraz zawierający Czcionka, Grafika, tekst, biały&#10;&#10;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DA84E" w14:textId="77777777" w:rsidR="008D0431" w:rsidRDefault="008D0431"/>
    <w:p w14:paraId="3FA1DA07" w14:textId="3976C0C1" w:rsidR="008D0431" w:rsidRDefault="008D0431" w:rsidP="00D75C55">
      <w:pPr>
        <w:jc w:val="right"/>
      </w:pPr>
      <w:r>
        <w:t xml:space="preserve">Warszawa, dn. </w:t>
      </w:r>
      <w:r w:rsidR="00786053">
        <w:t>16</w:t>
      </w:r>
      <w:r>
        <w:t>.12.2024</w:t>
      </w:r>
      <w:r>
        <w:br/>
        <w:t>Tekst ekspercki</w:t>
      </w:r>
    </w:p>
    <w:p w14:paraId="304DF704" w14:textId="77777777" w:rsidR="00D75C55" w:rsidRDefault="00D75C55"/>
    <w:p w14:paraId="0A8ECA8A" w14:textId="53E49761" w:rsidR="005F3396" w:rsidRPr="00D75C55" w:rsidRDefault="005F3396" w:rsidP="00D75C55">
      <w:pPr>
        <w:jc w:val="center"/>
        <w:rPr>
          <w:b/>
          <w:bCs/>
          <w:color w:val="C00000"/>
          <w:sz w:val="26"/>
          <w:szCs w:val="26"/>
        </w:rPr>
      </w:pPr>
      <w:r w:rsidRPr="00D75C55">
        <w:rPr>
          <w:b/>
          <w:bCs/>
          <w:color w:val="C00000"/>
          <w:sz w:val="26"/>
          <w:szCs w:val="26"/>
        </w:rPr>
        <w:t xml:space="preserve">Gwarancja dachu nad głową, czyli </w:t>
      </w:r>
      <w:r w:rsidR="00D75C55" w:rsidRPr="00D75C55">
        <w:rPr>
          <w:b/>
          <w:bCs/>
          <w:color w:val="C00000"/>
          <w:sz w:val="26"/>
          <w:szCs w:val="26"/>
        </w:rPr>
        <w:br/>
      </w:r>
      <w:r w:rsidRPr="00D75C55">
        <w:rPr>
          <w:b/>
          <w:bCs/>
          <w:color w:val="C00000"/>
          <w:sz w:val="26"/>
          <w:szCs w:val="26"/>
        </w:rPr>
        <w:t>służebność osobista w umowie o dożywocie</w:t>
      </w:r>
    </w:p>
    <w:p w14:paraId="51413ACE" w14:textId="505B0D99" w:rsidR="005F3396" w:rsidRPr="00DA34B7" w:rsidRDefault="005F3396" w:rsidP="00DA34B7">
      <w:pPr>
        <w:jc w:val="both"/>
        <w:rPr>
          <w:b/>
          <w:bCs/>
        </w:rPr>
      </w:pPr>
      <w:r w:rsidRPr="00DA34B7">
        <w:rPr>
          <w:b/>
          <w:bCs/>
        </w:rPr>
        <w:t xml:space="preserve">Służebność osobista mieszkania to jedno z najczęstszych zabezpieczeń stosowanych przez fundusze hipoteczne w umowach o dożywocie. Jakie prawa daje dożywotnikowi? Jak ją ustanowić? Czy można ją przenieść na inną osobę? Czy ktoś może ją odziedziczyć? Kiedy wygasa? Przybliżamy kluczowe aspekty prawne wraz z Małgorzatą Rosińską, Kierowniczką Działu Prawnego Funduszu Hipotecznego DOM. </w:t>
      </w:r>
    </w:p>
    <w:p w14:paraId="557D8678" w14:textId="77777777" w:rsidR="00DA34B7" w:rsidRPr="00DA34B7" w:rsidRDefault="00DA34B7">
      <w:pPr>
        <w:rPr>
          <w:sz w:val="4"/>
          <w:szCs w:val="4"/>
        </w:rPr>
      </w:pPr>
    </w:p>
    <w:p w14:paraId="3EAD5D33" w14:textId="26DBDA0C" w:rsidR="000203E6" w:rsidRDefault="000203E6" w:rsidP="00DA34B7">
      <w:pPr>
        <w:jc w:val="both"/>
      </w:pPr>
      <w:r>
        <w:t>Gdy właściciel nieruchomości przekazuje swoje mieszkanie lub dom w zamian za opiekę, wsparcie, albo świadczenia pieniężne (tzw. rentę dożywotnią) ważne jest, by skutecznie zabezpieczyć prawo do zamieszkiwania w dotychczasowym lokum. Służebność osobista mieszkania daje taką możliwość i jest stosowana nie tylko w przypadku hipoteki odwróconej</w:t>
      </w:r>
      <w:r w:rsidR="000B6AB4">
        <w:t xml:space="preserve">. </w:t>
      </w:r>
      <w:r w:rsidR="00DA34B7">
        <w:t>Kolejnym przykładem</w:t>
      </w:r>
      <w:r w:rsidR="000B6AB4">
        <w:t xml:space="preserve"> </w:t>
      </w:r>
      <w:r w:rsidR="00DA34B7">
        <w:t xml:space="preserve">jest sytuacja, w której rodzice chcą sprzedać nieruchomość lub przekazać ją (jeszcze za życia) dzieciom, a jednocześnie zapewnić sobie prawo do korzystania z </w:t>
      </w:r>
      <w:r w:rsidR="000B6AB4">
        <w:t xml:space="preserve">lokalu </w:t>
      </w:r>
      <w:r w:rsidR="00DA34B7">
        <w:t xml:space="preserve">do końca życia. </w:t>
      </w:r>
    </w:p>
    <w:p w14:paraId="4D25B750" w14:textId="20F7A6C1" w:rsidR="00DA34B7" w:rsidRPr="002E1483" w:rsidRDefault="00DA34B7" w:rsidP="0063215D">
      <w:pPr>
        <w:jc w:val="both"/>
      </w:pPr>
      <w:r>
        <w:t xml:space="preserve">– </w:t>
      </w:r>
      <w:r w:rsidRPr="002E1483">
        <w:t xml:space="preserve">Służebność osobista mieszkania, jest jednym z ograniczonych praw rzeczowych, które daje określonej osobie (czyli </w:t>
      </w:r>
      <w:r w:rsidR="00431C4A">
        <w:t>uprawnionemu</w:t>
      </w:r>
      <w:r w:rsidRPr="002E1483">
        <w:t>) prawo do korzystania z nieruchomości (lub jej części) w zakresie potrzebnym do zapewnienia jej osobistych potrzeb mieszkaniowych. Warto podkreślić, że jest to prawo niezbywalne</w:t>
      </w:r>
      <w:r w:rsidR="005C011B">
        <w:t xml:space="preserve"> i</w:t>
      </w:r>
      <w:r w:rsidR="00CA23A8">
        <w:t xml:space="preserve"> </w:t>
      </w:r>
      <w:r w:rsidRPr="002E1483">
        <w:t xml:space="preserve">niedziedziczne, nie można </w:t>
      </w:r>
      <w:r w:rsidR="008B4CCF">
        <w:t xml:space="preserve">też </w:t>
      </w:r>
      <w:r w:rsidRPr="002E1483">
        <w:t xml:space="preserve">przenieść </w:t>
      </w:r>
      <w:r w:rsidR="008B4CCF">
        <w:t xml:space="preserve">uprawnienia do jego wykonywania </w:t>
      </w:r>
      <w:r w:rsidRPr="002E1483">
        <w:t xml:space="preserve">na inną osobę. </w:t>
      </w:r>
      <w:r w:rsidR="00DC2665" w:rsidRPr="00DC2665">
        <w:t xml:space="preserve">Można </w:t>
      </w:r>
      <w:r w:rsidR="00CA23A8">
        <w:t>jednak ustalić</w:t>
      </w:r>
      <w:r w:rsidR="00DC2665" w:rsidRPr="00DC2665">
        <w:t xml:space="preserve">, że po śmierci uprawnionego służebność mieszkania </w:t>
      </w:r>
      <w:r w:rsidR="00ED41A1" w:rsidRPr="00DC2665">
        <w:t xml:space="preserve">będzie </w:t>
      </w:r>
      <w:r w:rsidR="00DC2665" w:rsidRPr="00DC2665">
        <w:t>przysługiwać jego dzieciom, rodzicom i</w:t>
      </w:r>
      <w:r w:rsidR="00DC2665">
        <w:t> </w:t>
      </w:r>
      <w:r w:rsidR="00DC2665" w:rsidRPr="00DC2665">
        <w:t>małżonkowi.</w:t>
      </w:r>
      <w:r w:rsidR="00DC2665">
        <w:t xml:space="preserve"> </w:t>
      </w:r>
      <w:r w:rsidRPr="002E1483">
        <w:t xml:space="preserve">Prawo to wygasa dopiero wraz ze śmiercią </w:t>
      </w:r>
      <w:r w:rsidR="0054630E">
        <w:t>osoby uprawnionej z tyt</w:t>
      </w:r>
      <w:r w:rsidR="0074182D">
        <w:t>u</w:t>
      </w:r>
      <w:r w:rsidR="0054630E">
        <w:t xml:space="preserve">łu służebności  </w:t>
      </w:r>
      <w:r>
        <w:t xml:space="preserve">– mówi Małgorzata Rosińska, prawniczka z Funduszu Hipotecznego DOM. </w:t>
      </w:r>
    </w:p>
    <w:p w14:paraId="0C496F64" w14:textId="3E3EA292" w:rsidR="00F80E2A" w:rsidRPr="0063215D" w:rsidRDefault="00F80E2A" w:rsidP="000967EA">
      <w:pPr>
        <w:rPr>
          <w:b/>
          <w:bCs/>
          <w:sz w:val="4"/>
          <w:szCs w:val="4"/>
        </w:rPr>
      </w:pPr>
    </w:p>
    <w:p w14:paraId="4675DB35" w14:textId="4B53179D" w:rsidR="002E1483" w:rsidRDefault="002E1483" w:rsidP="000967EA">
      <w:pPr>
        <w:rPr>
          <w:b/>
          <w:bCs/>
        </w:rPr>
      </w:pPr>
      <w:r>
        <w:rPr>
          <w:b/>
          <w:bCs/>
        </w:rPr>
        <w:t>Umowa o dożywocie i służebność</w:t>
      </w:r>
    </w:p>
    <w:p w14:paraId="309EF320" w14:textId="11A9238D" w:rsidR="002E1483" w:rsidRPr="00BF1F21" w:rsidRDefault="00D47DBF" w:rsidP="00635C58">
      <w:pPr>
        <w:jc w:val="both"/>
      </w:pPr>
      <w:r w:rsidRPr="00BF1F21">
        <w:t xml:space="preserve">Umowa o dożywocie, zawierana często przez fundusze hipoteczne z seniorami, opiera się o przepisy 908-916 Kodeksu cywilnego. </w:t>
      </w:r>
      <w:r w:rsidR="00E80C0A" w:rsidRPr="00BF1F21">
        <w:t xml:space="preserve">Taki kontrakt zobowiązuje nabywcę nieruchomości (fundusz) do zapewnienia zbywcy (seniorowi) określonych świadczeń np. wypłacania </w:t>
      </w:r>
      <w:r w:rsidR="003C25B0">
        <w:t>określonej kwoty</w:t>
      </w:r>
      <w:r w:rsidR="00E80C0A" w:rsidRPr="00BF1F21">
        <w:t xml:space="preserve"> co miesiąc. – Podpisując umowę o dożywocie z funduszem hipotecznym, czy osobą prywatną</w:t>
      </w:r>
      <w:r w:rsidR="00635C58">
        <w:t xml:space="preserve"> i ustanawiając służebność osobistą musimy zawrzeć kontrakt przed notariuszem</w:t>
      </w:r>
      <w:r w:rsidR="005B0E21">
        <w:t>.</w:t>
      </w:r>
      <w:r w:rsidR="00B110E5">
        <w:t xml:space="preserve"> </w:t>
      </w:r>
      <w:r w:rsidR="005B0E21">
        <w:t>W</w:t>
      </w:r>
      <w:r w:rsidR="00B110E5">
        <w:t>arto też</w:t>
      </w:r>
      <w:r w:rsidR="00635C58">
        <w:t xml:space="preserve"> </w:t>
      </w:r>
      <w:r w:rsidR="00A805B2">
        <w:t>dopilnować by służebność został</w:t>
      </w:r>
      <w:r w:rsidR="00B110E5">
        <w:t>a</w:t>
      </w:r>
      <w:r w:rsidR="00A805B2">
        <w:t xml:space="preserve"> wpisana do </w:t>
      </w:r>
      <w:r w:rsidR="00635C58">
        <w:t>księ</w:t>
      </w:r>
      <w:r w:rsidR="00A805B2">
        <w:t>gi</w:t>
      </w:r>
      <w:r w:rsidR="00635C58">
        <w:t xml:space="preserve"> wieczystej </w:t>
      </w:r>
      <w:r w:rsidR="005B0E21">
        <w:t xml:space="preserve">prowadzonej dla </w:t>
      </w:r>
      <w:r w:rsidR="00635C58">
        <w:t xml:space="preserve">nieruchomości – mówi Małgorzata Rosińska. </w:t>
      </w:r>
      <w:r w:rsidR="007F6A80">
        <w:t>Z</w:t>
      </w:r>
      <w:r w:rsidR="00E80C0A" w:rsidRPr="00BF1F21">
        <w:t xml:space="preserve">apewni </w:t>
      </w:r>
      <w:r w:rsidR="007F6A80">
        <w:t xml:space="preserve">to </w:t>
      </w:r>
      <w:r w:rsidR="00E80C0A" w:rsidRPr="00BF1F21">
        <w:t xml:space="preserve">jej skuteczność wobec osób trzecich. Innymi słowy, służebność wpisana do księgi wieczystej obowiązuje każdego potencjalnego nabywcę tej nieruchomości, a to oznacza że jeśli </w:t>
      </w:r>
      <w:r w:rsidR="00635C58">
        <w:t>dom lub mieszkanie</w:t>
      </w:r>
      <w:r w:rsidR="00E80C0A" w:rsidRPr="00BF1F21">
        <w:t xml:space="preserve"> zmieni </w:t>
      </w:r>
      <w:r w:rsidR="00635C58">
        <w:t xml:space="preserve">kiedykolwiek </w:t>
      </w:r>
      <w:r w:rsidR="00E80C0A" w:rsidRPr="00BF1F21">
        <w:t xml:space="preserve">właściciela, to osoba uprawniona nadal </w:t>
      </w:r>
      <w:r w:rsidR="00635C58">
        <w:t xml:space="preserve">będzie </w:t>
      </w:r>
      <w:r w:rsidR="00E80C0A" w:rsidRPr="00BF1F21">
        <w:t xml:space="preserve">mogła tam mieszkać. </w:t>
      </w:r>
      <w:r w:rsidR="00560CFB" w:rsidRPr="00BF1F21">
        <w:t xml:space="preserve">Takie przepisy zapewniają dożywotnikowi większe bezpieczeństwo prawne. </w:t>
      </w:r>
    </w:p>
    <w:p w14:paraId="778ADDD1" w14:textId="4825D018" w:rsidR="00385D4D" w:rsidRDefault="00BF1F21" w:rsidP="00385D4D">
      <w:pPr>
        <w:rPr>
          <w:b/>
          <w:bCs/>
        </w:rPr>
      </w:pPr>
      <w:r>
        <w:rPr>
          <w:b/>
          <w:bCs/>
        </w:rPr>
        <w:lastRenderedPageBreak/>
        <w:t>Jak ustanowić służebność i co musi znaleźć się w umowie</w:t>
      </w:r>
      <w:r w:rsidR="00635C58">
        <w:rPr>
          <w:b/>
          <w:bCs/>
        </w:rPr>
        <w:t xml:space="preserve">? </w:t>
      </w:r>
    </w:p>
    <w:p w14:paraId="62FD7808" w14:textId="320564E0" w:rsidR="009427EA" w:rsidRPr="00AF5EC3" w:rsidRDefault="007804BE" w:rsidP="00B55F96">
      <w:pPr>
        <w:jc w:val="both"/>
      </w:pPr>
      <w:r w:rsidRPr="00D546B0">
        <w:t>Służebność osobist</w:t>
      </w:r>
      <w:r w:rsidR="00C96FF3">
        <w:t>ą</w:t>
      </w:r>
      <w:r w:rsidRPr="00D546B0">
        <w:t xml:space="preserve"> mieszkania można ustanowić za pomocą umowy między stronami (i jest to najczęstszy sposób</w:t>
      </w:r>
      <w:r w:rsidR="00C96FF3">
        <w:t>)</w:t>
      </w:r>
      <w:r w:rsidRPr="00D546B0">
        <w:t xml:space="preserve"> albo poprzez orzeczenie sądu. </w:t>
      </w:r>
      <w:r w:rsidR="00BF7526" w:rsidRPr="00D546B0">
        <w:t>Umowa ustanowienia służebności zawierana jest przed notariuszem</w:t>
      </w:r>
      <w:r w:rsidR="005C011B">
        <w:t xml:space="preserve"> (co istotne</w:t>
      </w:r>
      <w:r w:rsidR="004D2BB3">
        <w:t>,</w:t>
      </w:r>
      <w:r w:rsidR="005C011B">
        <w:t xml:space="preserve"> z</w:t>
      </w:r>
      <w:r w:rsidR="005C011B" w:rsidRPr="005C011B">
        <w:t>achowanie formy aktu notarialnego jest niezbędne wyłącznie dla oświadczenia właściciela nieruchomości</w:t>
      </w:r>
      <w:r w:rsidR="005C011B">
        <w:t xml:space="preserve">. Uprawniony z tytułu służebności </w:t>
      </w:r>
      <w:r w:rsidR="005C011B" w:rsidRPr="005C011B">
        <w:t xml:space="preserve">może </w:t>
      </w:r>
      <w:r w:rsidR="005C011B">
        <w:t xml:space="preserve">złożyć oświadczenie </w:t>
      </w:r>
      <w:r w:rsidR="005C011B" w:rsidRPr="005C011B">
        <w:t>w dowolnej formie</w:t>
      </w:r>
      <w:r w:rsidR="005C011B">
        <w:t>)</w:t>
      </w:r>
      <w:r w:rsidR="00057F3B" w:rsidRPr="00D546B0">
        <w:t xml:space="preserve">. Po sporządzeniu aktu notarialnego </w:t>
      </w:r>
      <w:r w:rsidR="004D2BB3">
        <w:t>notariusz składa</w:t>
      </w:r>
      <w:r w:rsidR="00057F3B" w:rsidRPr="00D546B0">
        <w:t xml:space="preserve"> wniosek o wpis służebności do księgi wieczystej nieruchomości. </w:t>
      </w:r>
      <w:r w:rsidR="00F325E2" w:rsidRPr="00D546B0">
        <w:t>Wpis ten ma kluczowe znaczenie</w:t>
      </w:r>
      <w:r w:rsidR="00D546B0" w:rsidRPr="00D546B0">
        <w:t xml:space="preserve">, bo chroni </w:t>
      </w:r>
      <w:r w:rsidR="00926EF4">
        <w:t>uprawnionego</w:t>
      </w:r>
      <w:r w:rsidR="00926EF4" w:rsidRPr="00D546B0">
        <w:t xml:space="preserve"> </w:t>
      </w:r>
      <w:r w:rsidR="00C96FF3">
        <w:t>m.in. w</w:t>
      </w:r>
      <w:r w:rsidR="00D546B0" w:rsidRPr="00D546B0">
        <w:t xml:space="preserve"> przypadku zmiany właściciela nieruchomości. W umowie ustanowienia służebności muszą znaleźć się oczywiście strony umowy (właściciel nieruchomości ustanawiający służebność i </w:t>
      </w:r>
      <w:r w:rsidR="00772A92">
        <w:t>uprawniony</w:t>
      </w:r>
      <w:r w:rsidR="00D546B0" w:rsidRPr="00D546B0">
        <w:t>), dokładne oznaczenie nieruchomości wraz z adresem, numerem działki, numerem księgi wieczystej</w:t>
      </w:r>
      <w:r w:rsidR="00C96FF3">
        <w:t xml:space="preserve"> itd.</w:t>
      </w:r>
      <w:r w:rsidR="00D546B0" w:rsidRPr="00D546B0">
        <w:t xml:space="preserve">, konkretne prawa przysługujące </w:t>
      </w:r>
      <w:r w:rsidR="00937F5B">
        <w:t>uprawnionemu</w:t>
      </w:r>
      <w:r w:rsidR="00D546B0" w:rsidRPr="00D546B0">
        <w:t xml:space="preserve">, czas trwania służebności (tu warto podkreślić, że co do zasady ustanawia się ją na czas życia </w:t>
      </w:r>
      <w:r w:rsidR="00772A92">
        <w:t>uprawnionego</w:t>
      </w:r>
      <w:r w:rsidR="00D546B0" w:rsidRPr="00D546B0">
        <w:t>, ale strony mogą ustalić inne warunki), obowiązki właściciela (</w:t>
      </w:r>
      <w:r w:rsidR="00C96FF3">
        <w:t xml:space="preserve">np. </w:t>
      </w:r>
      <w:r w:rsidR="00D546B0" w:rsidRPr="00D546B0">
        <w:t xml:space="preserve">zapewnienie dostępu do określonych pomieszczeń) oraz </w:t>
      </w:r>
      <w:r w:rsidR="00772A92">
        <w:t>uprawnionego</w:t>
      </w:r>
      <w:r w:rsidR="00772A92" w:rsidRPr="00D546B0">
        <w:t xml:space="preserve"> </w:t>
      </w:r>
      <w:r w:rsidR="00D546B0" w:rsidRPr="00D546B0">
        <w:t>(np. utrzymanie porządku).</w:t>
      </w:r>
      <w:r w:rsidR="00C96FF3">
        <w:t xml:space="preserve"> </w:t>
      </w:r>
      <w:r w:rsidR="00D546B0" w:rsidRPr="00D546B0">
        <w:t xml:space="preserve"> </w:t>
      </w:r>
    </w:p>
    <w:p w14:paraId="0E36E163" w14:textId="77777777" w:rsidR="00D546B0" w:rsidRPr="009427EA" w:rsidRDefault="00D546B0" w:rsidP="009427EA">
      <w:pPr>
        <w:rPr>
          <w:b/>
          <w:bCs/>
        </w:rPr>
      </w:pPr>
    </w:p>
    <w:p w14:paraId="089D8103" w14:textId="77777777" w:rsidR="009427EA" w:rsidRPr="00385D4D" w:rsidRDefault="009427EA" w:rsidP="00385D4D">
      <w:pPr>
        <w:rPr>
          <w:b/>
          <w:bCs/>
        </w:rPr>
      </w:pPr>
    </w:p>
    <w:p w14:paraId="0D6DB555" w14:textId="77777777" w:rsidR="00385D4D" w:rsidRPr="00385D4D" w:rsidRDefault="00385D4D" w:rsidP="00385D4D">
      <w:pPr>
        <w:rPr>
          <w:b/>
          <w:bCs/>
        </w:rPr>
      </w:pPr>
    </w:p>
    <w:p w14:paraId="2D072559" w14:textId="77777777" w:rsidR="00385D4D" w:rsidRPr="00385D4D" w:rsidRDefault="00385D4D" w:rsidP="00385D4D">
      <w:pPr>
        <w:rPr>
          <w:b/>
          <w:bCs/>
        </w:rPr>
      </w:pPr>
    </w:p>
    <w:p w14:paraId="0B1431E7" w14:textId="77777777" w:rsidR="000967EA" w:rsidRPr="000967EA" w:rsidRDefault="000967EA" w:rsidP="000967EA">
      <w:pPr>
        <w:rPr>
          <w:b/>
          <w:bCs/>
        </w:rPr>
      </w:pPr>
    </w:p>
    <w:p w14:paraId="1FA15B85" w14:textId="77777777" w:rsidR="001A76C7" w:rsidRDefault="001A76C7"/>
    <w:sectPr w:rsidR="001A7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6C7"/>
    <w:rsid w:val="000203E6"/>
    <w:rsid w:val="00057F3B"/>
    <w:rsid w:val="000967EA"/>
    <w:rsid w:val="00096AEC"/>
    <w:rsid w:val="000B6AB4"/>
    <w:rsid w:val="001A76C7"/>
    <w:rsid w:val="00281DB5"/>
    <w:rsid w:val="0028615E"/>
    <w:rsid w:val="002E1483"/>
    <w:rsid w:val="00385D4D"/>
    <w:rsid w:val="003C25B0"/>
    <w:rsid w:val="003D0B13"/>
    <w:rsid w:val="00431C4A"/>
    <w:rsid w:val="004D2BB3"/>
    <w:rsid w:val="00512E5C"/>
    <w:rsid w:val="0054630E"/>
    <w:rsid w:val="00560CFB"/>
    <w:rsid w:val="005B0E21"/>
    <w:rsid w:val="005C011B"/>
    <w:rsid w:val="005F3396"/>
    <w:rsid w:val="0063215D"/>
    <w:rsid w:val="00635C58"/>
    <w:rsid w:val="00644EB2"/>
    <w:rsid w:val="00721488"/>
    <w:rsid w:val="0074182D"/>
    <w:rsid w:val="00772A92"/>
    <w:rsid w:val="007804BE"/>
    <w:rsid w:val="00786053"/>
    <w:rsid w:val="00790157"/>
    <w:rsid w:val="007F6A80"/>
    <w:rsid w:val="00831865"/>
    <w:rsid w:val="00840F31"/>
    <w:rsid w:val="008B4CCF"/>
    <w:rsid w:val="008C6179"/>
    <w:rsid w:val="008D0431"/>
    <w:rsid w:val="008F77DC"/>
    <w:rsid w:val="00926EF4"/>
    <w:rsid w:val="00937F5B"/>
    <w:rsid w:val="009427EA"/>
    <w:rsid w:val="009954F3"/>
    <w:rsid w:val="00A041DD"/>
    <w:rsid w:val="00A10C23"/>
    <w:rsid w:val="00A805B2"/>
    <w:rsid w:val="00A92E8F"/>
    <w:rsid w:val="00AD5CD6"/>
    <w:rsid w:val="00AF5EC3"/>
    <w:rsid w:val="00B110E5"/>
    <w:rsid w:val="00B45997"/>
    <w:rsid w:val="00B55F96"/>
    <w:rsid w:val="00BF1F21"/>
    <w:rsid w:val="00BF7526"/>
    <w:rsid w:val="00C06F8E"/>
    <w:rsid w:val="00C72AA5"/>
    <w:rsid w:val="00C96FF3"/>
    <w:rsid w:val="00CA23A8"/>
    <w:rsid w:val="00D0666F"/>
    <w:rsid w:val="00D47DBF"/>
    <w:rsid w:val="00D546B0"/>
    <w:rsid w:val="00D75C55"/>
    <w:rsid w:val="00DA34B7"/>
    <w:rsid w:val="00DC2665"/>
    <w:rsid w:val="00DD6800"/>
    <w:rsid w:val="00E80C0A"/>
    <w:rsid w:val="00ED41A1"/>
    <w:rsid w:val="00F325E2"/>
    <w:rsid w:val="00F80E2A"/>
    <w:rsid w:val="00FB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A176"/>
  <w15:chartTrackingRefBased/>
  <w15:docId w15:val="{CEA74AF8-9255-4892-9EBA-D5417A9B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7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7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A7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7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7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7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7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7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76C7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76C7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A76C7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6C7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76C7"/>
    <w:rPr>
      <w:rFonts w:eastAsiaTheme="majorEastAsia" w:cstheme="majorBidi"/>
      <w:noProof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76C7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76C7"/>
    <w:rPr>
      <w:rFonts w:eastAsiaTheme="majorEastAsia" w:cstheme="majorBidi"/>
      <w:noProof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76C7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76C7"/>
    <w:rPr>
      <w:rFonts w:eastAsiaTheme="majorEastAsia" w:cstheme="majorBidi"/>
      <w:noProof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7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76C7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7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76C7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7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76C7"/>
    <w:rPr>
      <w:i/>
      <w:iCs/>
      <w:noProof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76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76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7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76C7"/>
    <w:rPr>
      <w:i/>
      <w:iCs/>
      <w:noProof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76C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A76C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76C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0666F"/>
    <w:pPr>
      <w:spacing w:after="0" w:line="240" w:lineRule="auto"/>
    </w:pPr>
    <w:rPr>
      <w:noProof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4C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4C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4CCF"/>
    <w:rPr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4C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4CCF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1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560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Zelazko</dc:creator>
  <cp:keywords/>
  <dc:description/>
  <cp:lastModifiedBy>Agnieszka Zelazko</cp:lastModifiedBy>
  <cp:revision>5</cp:revision>
  <dcterms:created xsi:type="dcterms:W3CDTF">2024-12-09T15:16:00Z</dcterms:created>
  <dcterms:modified xsi:type="dcterms:W3CDTF">2024-12-16T13:36:00Z</dcterms:modified>
</cp:coreProperties>
</file>